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DF43" w14:textId="15963C47" w:rsidR="00EB4E30" w:rsidRDefault="00EB4E30" w:rsidP="00EB4E30">
      <w:pPr>
        <w:pStyle w:val="Nagwek1"/>
      </w:pPr>
      <w:r>
        <w:t>Template</w:t>
      </w:r>
    </w:p>
    <w:p w14:paraId="7BA8D51C" w14:textId="77777777" w:rsidR="00EB4E30" w:rsidRDefault="00EB4E30"/>
    <w:tbl>
      <w:tblPr>
        <w:tblW w:w="8995" w:type="dxa"/>
        <w:tblLayout w:type="fixed"/>
        <w:tblLook w:val="0400" w:firstRow="0" w:lastRow="0" w:firstColumn="0" w:lastColumn="0" w:noHBand="0" w:noVBand="1"/>
      </w:tblPr>
      <w:tblGrid>
        <w:gridCol w:w="4315"/>
        <w:gridCol w:w="4680"/>
      </w:tblGrid>
      <w:tr w:rsidR="00EB4E30" w14:paraId="6CA86826" w14:textId="77777777" w:rsidTr="00EB4E30">
        <w:tc>
          <w:tcPr>
            <w:tcW w:w="8995" w:type="dxa"/>
            <w:gridSpan w:val="2"/>
            <w:tcBorders>
              <w:top w:val="single" w:sz="4" w:space="0" w:color="BFBFBF"/>
              <w:left w:val="single" w:sz="4" w:space="0" w:color="BFBFBF"/>
              <w:bottom w:val="single" w:sz="4" w:space="0" w:color="BFBFBF"/>
              <w:right w:val="single" w:sz="4" w:space="0" w:color="BFBFBF"/>
            </w:tcBorders>
            <w:shd w:val="clear" w:color="auto" w:fill="EDEDED"/>
            <w:tcMar>
              <w:top w:w="0" w:type="dxa"/>
              <w:left w:w="108" w:type="dxa"/>
              <w:bottom w:w="0" w:type="dxa"/>
              <w:right w:w="108" w:type="dxa"/>
            </w:tcMar>
          </w:tcPr>
          <w:p w14:paraId="5FB98ECE" w14:textId="77777777" w:rsidR="00EB4E30" w:rsidRDefault="00EB4E30" w:rsidP="00C51021">
            <w:pPr>
              <w:jc w:val="center"/>
              <w:rPr>
                <w:b/>
                <w:color w:val="000000"/>
              </w:rPr>
            </w:pPr>
            <w:r>
              <w:rPr>
                <w:b/>
                <w:color w:val="000000"/>
              </w:rPr>
              <w:t>Title of the Module </w:t>
            </w:r>
          </w:p>
        </w:tc>
      </w:tr>
      <w:tr w:rsidR="00EB4E30" w14:paraId="48E531A9" w14:textId="77777777" w:rsidTr="00EB4E30">
        <w:tc>
          <w:tcPr>
            <w:tcW w:w="43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3B0688D" w14:textId="77777777" w:rsidR="00EB4E30" w:rsidRDefault="00EB4E30" w:rsidP="00C51021">
            <w:pPr>
              <w:jc w:val="both"/>
              <w:rPr>
                <w:b/>
                <w:color w:val="000000"/>
              </w:rPr>
            </w:pPr>
            <w:r>
              <w:rPr>
                <w:b/>
                <w:color w:val="000000"/>
              </w:rPr>
              <w:t>Main objectives</w:t>
            </w:r>
          </w:p>
        </w:tc>
        <w:tc>
          <w:tcPr>
            <w:tcW w:w="46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1A7AEAE" w14:textId="77777777" w:rsidR="00EB4E30" w:rsidRDefault="00EB4E30" w:rsidP="00C51021">
            <w:pPr>
              <w:rPr>
                <w:color w:val="000000"/>
              </w:rPr>
            </w:pPr>
          </w:p>
        </w:tc>
      </w:tr>
      <w:tr w:rsidR="00EB4E30" w14:paraId="256DFE2D" w14:textId="77777777" w:rsidTr="00EB4E30">
        <w:tc>
          <w:tcPr>
            <w:tcW w:w="431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AF0254" w14:textId="77777777" w:rsidR="00EB4E30" w:rsidRDefault="00EB4E30" w:rsidP="00C51021">
            <w:pPr>
              <w:jc w:val="both"/>
              <w:rPr>
                <w:b/>
                <w:color w:val="000000"/>
              </w:rPr>
            </w:pPr>
            <w:r>
              <w:rPr>
                <w:b/>
                <w:color w:val="000000"/>
              </w:rPr>
              <w:t>Learning contents</w:t>
            </w:r>
          </w:p>
        </w:tc>
        <w:tc>
          <w:tcPr>
            <w:tcW w:w="468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F91381" w14:textId="77777777" w:rsidR="00EB4E30" w:rsidRDefault="00EB4E30" w:rsidP="00C51021">
            <w:pPr>
              <w:rPr>
                <w:color w:val="000000"/>
              </w:rPr>
            </w:pPr>
          </w:p>
        </w:tc>
      </w:tr>
      <w:tr w:rsidR="00EB4E30" w14:paraId="5A09E872" w14:textId="77777777" w:rsidTr="00EB4E30">
        <w:tc>
          <w:tcPr>
            <w:tcW w:w="43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7BCD4AD" w14:textId="77777777" w:rsidR="00EB4E30" w:rsidRDefault="00EB4E30" w:rsidP="00C51021">
            <w:pPr>
              <w:jc w:val="both"/>
              <w:rPr>
                <w:b/>
                <w:color w:val="000000"/>
              </w:rPr>
            </w:pPr>
            <w:r>
              <w:rPr>
                <w:b/>
                <w:color w:val="000000"/>
              </w:rPr>
              <w:t>Learning outcomes</w:t>
            </w:r>
          </w:p>
        </w:tc>
        <w:tc>
          <w:tcPr>
            <w:tcW w:w="46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2379988" w14:textId="77777777" w:rsidR="00EB4E30" w:rsidRDefault="00EB4E30" w:rsidP="00C51021">
            <w:pPr>
              <w:rPr>
                <w:color w:val="000000"/>
              </w:rPr>
            </w:pPr>
          </w:p>
        </w:tc>
      </w:tr>
      <w:tr w:rsidR="00EB4E30" w14:paraId="60D28A1B" w14:textId="77777777" w:rsidTr="00EB4E30">
        <w:tc>
          <w:tcPr>
            <w:tcW w:w="431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2748F0" w14:textId="77777777" w:rsidR="00EB4E30" w:rsidRDefault="00EB4E30" w:rsidP="00C51021">
            <w:pPr>
              <w:jc w:val="both"/>
              <w:rPr>
                <w:b/>
                <w:color w:val="000000"/>
              </w:rPr>
            </w:pPr>
            <w:r>
              <w:rPr>
                <w:b/>
                <w:color w:val="000000"/>
              </w:rPr>
              <w:t>Description of the training content &amp; material</w:t>
            </w:r>
          </w:p>
        </w:tc>
        <w:tc>
          <w:tcPr>
            <w:tcW w:w="468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25EBC5" w14:textId="77777777" w:rsidR="00EB4E30" w:rsidRDefault="00EB4E30" w:rsidP="00C51021">
            <w:pPr>
              <w:rPr>
                <w:color w:val="000000"/>
              </w:rPr>
            </w:pPr>
          </w:p>
        </w:tc>
      </w:tr>
      <w:tr w:rsidR="00EB4E30" w14:paraId="3423FE66" w14:textId="77777777" w:rsidTr="00EB4E30">
        <w:tc>
          <w:tcPr>
            <w:tcW w:w="43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80907BB" w14:textId="77777777" w:rsidR="00EB4E30" w:rsidRDefault="00EB4E30" w:rsidP="00C51021">
            <w:pPr>
              <w:jc w:val="both"/>
              <w:rPr>
                <w:b/>
                <w:color w:val="000000"/>
              </w:rPr>
            </w:pPr>
            <w:r>
              <w:rPr>
                <w:b/>
                <w:color w:val="000000"/>
              </w:rPr>
              <w:t>Duration</w:t>
            </w:r>
          </w:p>
        </w:tc>
        <w:tc>
          <w:tcPr>
            <w:tcW w:w="46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D7A33D9" w14:textId="77777777" w:rsidR="00EB4E30" w:rsidRDefault="00EB4E30" w:rsidP="00C51021">
            <w:pPr>
              <w:rPr>
                <w:color w:val="000000"/>
              </w:rPr>
            </w:pPr>
          </w:p>
        </w:tc>
      </w:tr>
      <w:tr w:rsidR="00EB4E30" w14:paraId="03727AE0" w14:textId="77777777" w:rsidTr="00EB4E30">
        <w:tc>
          <w:tcPr>
            <w:tcW w:w="431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E35E7A" w14:textId="77777777" w:rsidR="00EB4E30" w:rsidRDefault="00EB4E30" w:rsidP="00C51021">
            <w:pPr>
              <w:jc w:val="both"/>
              <w:rPr>
                <w:b/>
                <w:color w:val="000000"/>
              </w:rPr>
            </w:pPr>
            <w:r>
              <w:rPr>
                <w:b/>
                <w:color w:val="000000"/>
              </w:rPr>
              <w:t>Methodology – activities</w:t>
            </w:r>
          </w:p>
        </w:tc>
        <w:tc>
          <w:tcPr>
            <w:tcW w:w="468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AC5CD7" w14:textId="77777777" w:rsidR="00EB4E30" w:rsidRDefault="00EB4E30" w:rsidP="00C51021">
            <w:pPr>
              <w:rPr>
                <w:color w:val="000000"/>
              </w:rPr>
            </w:pPr>
          </w:p>
        </w:tc>
      </w:tr>
      <w:tr w:rsidR="00EB4E30" w14:paraId="790BE903" w14:textId="77777777" w:rsidTr="00EB4E30">
        <w:tc>
          <w:tcPr>
            <w:tcW w:w="43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E0A3E3" w14:textId="77777777" w:rsidR="00EB4E30" w:rsidRDefault="00EB4E30" w:rsidP="00C51021">
            <w:pPr>
              <w:jc w:val="both"/>
              <w:rPr>
                <w:b/>
                <w:color w:val="000000"/>
              </w:rPr>
            </w:pPr>
            <w:r>
              <w:rPr>
                <w:b/>
                <w:color w:val="000000"/>
              </w:rPr>
              <w:t>Test criteria, assessment and self-assessment tools for pre-tests and post-tests</w:t>
            </w:r>
          </w:p>
        </w:tc>
        <w:tc>
          <w:tcPr>
            <w:tcW w:w="468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9FC245E" w14:textId="77777777" w:rsidR="00EB4E30" w:rsidRDefault="00EB4E30" w:rsidP="00C51021">
            <w:pPr>
              <w:rPr>
                <w:color w:val="000000"/>
              </w:rPr>
            </w:pPr>
          </w:p>
        </w:tc>
      </w:tr>
    </w:tbl>
    <w:p w14:paraId="47906BCF" w14:textId="58F70123" w:rsidR="00EB4E30" w:rsidRDefault="00EB4E30"/>
    <w:p w14:paraId="16F38F08" w14:textId="0B88F68F" w:rsidR="00EB4E30" w:rsidRDefault="00EB4E30" w:rsidP="00EB4E30">
      <w:pPr>
        <w:pStyle w:val="Nagwek1"/>
      </w:pPr>
      <w:r>
        <w:t>Example</w:t>
      </w:r>
    </w:p>
    <w:p w14:paraId="19FB78E1" w14:textId="5F590563" w:rsidR="00EB4E30" w:rsidRDefault="00EB4E30"/>
    <w:tbl>
      <w:tblPr>
        <w:tblW w:w="9000" w:type="dxa"/>
        <w:tblInd w:w="-5" w:type="dxa"/>
        <w:tblLayout w:type="fixed"/>
        <w:tblLook w:val="0400" w:firstRow="0" w:lastRow="0" w:firstColumn="0" w:lastColumn="0" w:noHBand="0" w:noVBand="1"/>
      </w:tblPr>
      <w:tblGrid>
        <w:gridCol w:w="4410"/>
        <w:gridCol w:w="4590"/>
      </w:tblGrid>
      <w:tr w:rsidR="00EB4E30" w14:paraId="576759B4" w14:textId="77777777" w:rsidTr="00EB4E30">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cMar>
              <w:top w:w="0" w:type="dxa"/>
              <w:left w:w="108" w:type="dxa"/>
              <w:bottom w:w="0" w:type="dxa"/>
              <w:right w:w="108" w:type="dxa"/>
            </w:tcMar>
          </w:tcPr>
          <w:p w14:paraId="611AACE3" w14:textId="77777777" w:rsidR="00EB4E30" w:rsidRDefault="00EB4E30" w:rsidP="00C51021">
            <w:pPr>
              <w:spacing w:line="360" w:lineRule="auto"/>
              <w:jc w:val="both"/>
              <w:rPr>
                <w:b/>
                <w:color w:val="000000"/>
              </w:rPr>
            </w:pPr>
            <w:r>
              <w:rPr>
                <w:b/>
                <w:color w:val="000000"/>
              </w:rPr>
              <w:t>Grammar: Gerund or Infinitive</w:t>
            </w:r>
          </w:p>
        </w:tc>
      </w:tr>
      <w:tr w:rsidR="00EB4E30" w14:paraId="1CC3AF6E"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2E9350B" w14:textId="77777777" w:rsidR="00EB4E30" w:rsidRDefault="00EB4E30" w:rsidP="00C51021">
            <w:pPr>
              <w:spacing w:line="360" w:lineRule="auto"/>
              <w:jc w:val="both"/>
              <w:rPr>
                <w:b/>
                <w:color w:val="000000"/>
              </w:rPr>
            </w:pPr>
            <w:r>
              <w:rPr>
                <w:b/>
                <w:color w:val="000000"/>
              </w:rPr>
              <w:t>Main objectives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7A4BAFE" w14:textId="77777777" w:rsidR="00EB4E30" w:rsidRDefault="00EB4E30" w:rsidP="00C51021">
            <w:pPr>
              <w:numPr>
                <w:ilvl w:val="0"/>
                <w:numId w:val="1"/>
              </w:numPr>
              <w:pBdr>
                <w:top w:val="nil"/>
                <w:left w:val="nil"/>
                <w:bottom w:val="nil"/>
                <w:right w:val="nil"/>
                <w:between w:val="nil"/>
              </w:pBdr>
              <w:spacing w:line="360" w:lineRule="auto"/>
              <w:jc w:val="both"/>
              <w:rPr>
                <w:color w:val="000000"/>
              </w:rPr>
            </w:pPr>
            <w:r>
              <w:rPr>
                <w:color w:val="000000"/>
              </w:rPr>
              <w:t xml:space="preserve">Learning when you use gerund </w:t>
            </w:r>
          </w:p>
          <w:p w14:paraId="45A66D80" w14:textId="77777777" w:rsidR="00EB4E30" w:rsidRDefault="00EB4E30" w:rsidP="00C51021">
            <w:pPr>
              <w:numPr>
                <w:ilvl w:val="0"/>
                <w:numId w:val="1"/>
              </w:numPr>
              <w:pBdr>
                <w:top w:val="nil"/>
                <w:left w:val="nil"/>
                <w:bottom w:val="nil"/>
                <w:right w:val="nil"/>
                <w:between w:val="nil"/>
              </w:pBdr>
              <w:spacing w:line="360" w:lineRule="auto"/>
              <w:jc w:val="both"/>
              <w:rPr>
                <w:color w:val="000000"/>
              </w:rPr>
            </w:pPr>
            <w:r>
              <w:rPr>
                <w:color w:val="000000"/>
              </w:rPr>
              <w:t>Learning when you use infinitive</w:t>
            </w:r>
          </w:p>
        </w:tc>
      </w:tr>
      <w:tr w:rsidR="00EB4E30" w14:paraId="4EC94016"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1A2DBFF7" w14:textId="77777777" w:rsidR="00EB4E30" w:rsidRDefault="00EB4E30" w:rsidP="00C51021">
            <w:pPr>
              <w:spacing w:line="360" w:lineRule="auto"/>
              <w:jc w:val="both"/>
              <w:rPr>
                <w:b/>
                <w:color w:val="000000"/>
              </w:rPr>
            </w:pPr>
            <w:r>
              <w:rPr>
                <w:b/>
                <w:color w:val="000000"/>
              </w:rPr>
              <w:t>Learning contents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682A38A0" w14:textId="77777777" w:rsidR="00EB4E30" w:rsidRDefault="00EB4E30" w:rsidP="00EB4E30">
            <w:pPr>
              <w:numPr>
                <w:ilvl w:val="0"/>
                <w:numId w:val="4"/>
              </w:numPr>
              <w:pBdr>
                <w:top w:val="nil"/>
                <w:left w:val="nil"/>
                <w:bottom w:val="nil"/>
                <w:right w:val="nil"/>
                <w:between w:val="nil"/>
              </w:pBdr>
              <w:spacing w:line="360" w:lineRule="auto"/>
              <w:jc w:val="both"/>
              <w:rPr>
                <w:color w:val="000000"/>
              </w:rPr>
            </w:pPr>
            <w:r>
              <w:rPr>
                <w:color w:val="000000"/>
              </w:rPr>
              <w:t>Common verbs and phrases that are followed by a gerund</w:t>
            </w:r>
          </w:p>
          <w:p w14:paraId="36CB406C" w14:textId="77777777" w:rsidR="00EB4E30" w:rsidRDefault="00EB4E30" w:rsidP="00EB4E30">
            <w:pPr>
              <w:numPr>
                <w:ilvl w:val="0"/>
                <w:numId w:val="4"/>
              </w:numPr>
              <w:pBdr>
                <w:top w:val="nil"/>
                <w:left w:val="nil"/>
                <w:bottom w:val="nil"/>
                <w:right w:val="nil"/>
                <w:between w:val="nil"/>
              </w:pBdr>
              <w:spacing w:line="360" w:lineRule="auto"/>
              <w:jc w:val="both"/>
              <w:rPr>
                <w:color w:val="000000"/>
              </w:rPr>
            </w:pPr>
            <w:r>
              <w:rPr>
                <w:color w:val="000000"/>
              </w:rPr>
              <w:t>Common verbs that can be followed by either a gerund or an infinitive without causing a change in meaning</w:t>
            </w:r>
          </w:p>
          <w:p w14:paraId="2E733119" w14:textId="77777777" w:rsidR="00EB4E30" w:rsidRDefault="00EB4E30" w:rsidP="00EB4E30">
            <w:pPr>
              <w:numPr>
                <w:ilvl w:val="0"/>
                <w:numId w:val="4"/>
              </w:numPr>
              <w:pBdr>
                <w:top w:val="nil"/>
                <w:left w:val="nil"/>
                <w:bottom w:val="nil"/>
                <w:right w:val="nil"/>
                <w:between w:val="nil"/>
              </w:pBdr>
              <w:spacing w:line="360" w:lineRule="auto"/>
              <w:jc w:val="both"/>
              <w:rPr>
                <w:color w:val="000000"/>
              </w:rPr>
            </w:pPr>
            <w:r>
              <w:rPr>
                <w:color w:val="000000"/>
              </w:rPr>
              <w:t>Common verbs that can be followed by a gerund or infinitive but with a change in meaning</w:t>
            </w:r>
          </w:p>
          <w:p w14:paraId="142F58F6" w14:textId="77777777" w:rsidR="00EB4E30" w:rsidRDefault="00EB4E30" w:rsidP="00EB4E30">
            <w:pPr>
              <w:numPr>
                <w:ilvl w:val="0"/>
                <w:numId w:val="4"/>
              </w:numPr>
              <w:pBdr>
                <w:top w:val="nil"/>
                <w:left w:val="nil"/>
                <w:bottom w:val="nil"/>
                <w:right w:val="nil"/>
                <w:between w:val="nil"/>
              </w:pBdr>
              <w:spacing w:line="360" w:lineRule="auto"/>
              <w:jc w:val="both"/>
              <w:rPr>
                <w:color w:val="000000"/>
              </w:rPr>
            </w:pPr>
            <w:r>
              <w:rPr>
                <w:color w:val="000000"/>
              </w:rPr>
              <w:t>Common verbs that are followed by an infinitive</w:t>
            </w:r>
          </w:p>
          <w:p w14:paraId="777496C7" w14:textId="77777777" w:rsidR="00EB4E30" w:rsidRDefault="00EB4E30" w:rsidP="00EB4E30">
            <w:pPr>
              <w:numPr>
                <w:ilvl w:val="0"/>
                <w:numId w:val="4"/>
              </w:numPr>
              <w:pBdr>
                <w:top w:val="nil"/>
                <w:left w:val="nil"/>
                <w:bottom w:val="nil"/>
                <w:right w:val="nil"/>
                <w:between w:val="nil"/>
              </w:pBdr>
              <w:spacing w:line="360" w:lineRule="auto"/>
              <w:jc w:val="both"/>
              <w:rPr>
                <w:color w:val="000000"/>
              </w:rPr>
            </w:pPr>
            <w:r>
              <w:rPr>
                <w:color w:val="000000"/>
              </w:rPr>
              <w:t>Common verbs that are directly followed by a noun or pronoun and then by an infinitive</w:t>
            </w:r>
          </w:p>
        </w:tc>
      </w:tr>
      <w:tr w:rsidR="00EB4E30" w14:paraId="4A866076"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9AC6622" w14:textId="77777777" w:rsidR="00EB4E30" w:rsidRDefault="00EB4E30" w:rsidP="00C51021">
            <w:pPr>
              <w:spacing w:line="360" w:lineRule="auto"/>
              <w:jc w:val="both"/>
              <w:rPr>
                <w:b/>
                <w:color w:val="000000"/>
              </w:rPr>
            </w:pPr>
            <w:r>
              <w:rPr>
                <w:b/>
                <w:color w:val="000000"/>
              </w:rPr>
              <w:t>Learning outcomes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5D6ED8A" w14:textId="77777777" w:rsidR="00EB4E30" w:rsidRDefault="00EB4E30" w:rsidP="00EB4E30">
            <w:pPr>
              <w:numPr>
                <w:ilvl w:val="0"/>
                <w:numId w:val="2"/>
              </w:numPr>
              <w:pBdr>
                <w:top w:val="nil"/>
                <w:left w:val="nil"/>
                <w:bottom w:val="nil"/>
                <w:right w:val="nil"/>
                <w:between w:val="nil"/>
              </w:pBdr>
              <w:spacing w:line="360" w:lineRule="auto"/>
              <w:jc w:val="both"/>
              <w:rPr>
                <w:color w:val="000000"/>
              </w:rPr>
            </w:pPr>
            <w:r w:rsidRPr="06A35314">
              <w:rPr>
                <w:color w:val="000000" w:themeColor="text1"/>
              </w:rPr>
              <w:t xml:space="preserve">Write and speak English fluently </w:t>
            </w:r>
          </w:p>
          <w:p w14:paraId="216369AD" w14:textId="77777777" w:rsidR="00EB4E30" w:rsidRDefault="00EB4E30" w:rsidP="00EB4E30">
            <w:pPr>
              <w:numPr>
                <w:ilvl w:val="0"/>
                <w:numId w:val="2"/>
              </w:numPr>
              <w:pBdr>
                <w:top w:val="nil"/>
                <w:left w:val="nil"/>
                <w:bottom w:val="nil"/>
                <w:right w:val="nil"/>
                <w:between w:val="nil"/>
              </w:pBdr>
              <w:spacing w:line="360" w:lineRule="auto"/>
              <w:jc w:val="both"/>
              <w:rPr>
                <w:color w:val="000000"/>
              </w:rPr>
            </w:pPr>
            <w:r>
              <w:rPr>
                <w:color w:val="000000"/>
              </w:rPr>
              <w:t>Understand the grammar rule</w:t>
            </w:r>
          </w:p>
          <w:p w14:paraId="7DD9E191" w14:textId="77777777" w:rsidR="00EB4E30" w:rsidRDefault="00EB4E30" w:rsidP="00EB4E30">
            <w:pPr>
              <w:numPr>
                <w:ilvl w:val="0"/>
                <w:numId w:val="2"/>
              </w:numPr>
              <w:pBdr>
                <w:top w:val="nil"/>
                <w:left w:val="nil"/>
                <w:bottom w:val="nil"/>
                <w:right w:val="nil"/>
                <w:between w:val="nil"/>
              </w:pBdr>
              <w:spacing w:line="360" w:lineRule="auto"/>
              <w:jc w:val="both"/>
              <w:rPr>
                <w:color w:val="000000"/>
              </w:rPr>
            </w:pPr>
            <w:r>
              <w:rPr>
                <w:color w:val="000000"/>
              </w:rPr>
              <w:t>Gain more knowledge</w:t>
            </w:r>
          </w:p>
          <w:p w14:paraId="2AAF8212" w14:textId="77777777" w:rsidR="00EB4E30" w:rsidRDefault="00EB4E30" w:rsidP="00EB4E30">
            <w:pPr>
              <w:numPr>
                <w:ilvl w:val="0"/>
                <w:numId w:val="2"/>
              </w:numPr>
              <w:pBdr>
                <w:top w:val="nil"/>
                <w:left w:val="nil"/>
                <w:bottom w:val="nil"/>
                <w:right w:val="nil"/>
                <w:between w:val="nil"/>
              </w:pBdr>
              <w:spacing w:line="360" w:lineRule="auto"/>
              <w:jc w:val="both"/>
              <w:rPr>
                <w:color w:val="000000"/>
              </w:rPr>
            </w:pPr>
            <w:r>
              <w:rPr>
                <w:color w:val="000000"/>
              </w:rPr>
              <w:lastRenderedPageBreak/>
              <w:t>Upgrade your grammar knowledge</w:t>
            </w:r>
          </w:p>
          <w:p w14:paraId="2A1DB2E6" w14:textId="77777777" w:rsidR="00EB4E30" w:rsidRDefault="00EB4E30" w:rsidP="00EB4E30">
            <w:pPr>
              <w:numPr>
                <w:ilvl w:val="0"/>
                <w:numId w:val="2"/>
              </w:numPr>
              <w:pBdr>
                <w:top w:val="nil"/>
                <w:left w:val="nil"/>
                <w:bottom w:val="nil"/>
                <w:right w:val="nil"/>
                <w:between w:val="nil"/>
              </w:pBdr>
              <w:spacing w:line="360" w:lineRule="auto"/>
              <w:jc w:val="both"/>
              <w:rPr>
                <w:color w:val="000000"/>
              </w:rPr>
            </w:pPr>
            <w:r>
              <w:rPr>
                <w:color w:val="000000"/>
              </w:rPr>
              <w:t>Fill your knowledge gaps</w:t>
            </w:r>
          </w:p>
          <w:p w14:paraId="5064EA89" w14:textId="77777777" w:rsidR="00EB4E30" w:rsidRDefault="00EB4E30" w:rsidP="00C51021">
            <w:pPr>
              <w:spacing w:line="360" w:lineRule="auto"/>
              <w:jc w:val="both"/>
              <w:rPr>
                <w:color w:val="000000"/>
              </w:rPr>
            </w:pPr>
          </w:p>
        </w:tc>
      </w:tr>
      <w:tr w:rsidR="00EB4E30" w14:paraId="21CC8CC7"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202F6EC7" w14:textId="77777777" w:rsidR="00EB4E30" w:rsidRDefault="00EB4E30" w:rsidP="00C51021">
            <w:pPr>
              <w:spacing w:line="360" w:lineRule="auto"/>
              <w:jc w:val="both"/>
              <w:rPr>
                <w:b/>
                <w:color w:val="000000"/>
              </w:rPr>
            </w:pPr>
            <w:r>
              <w:rPr>
                <w:b/>
                <w:color w:val="000000"/>
              </w:rPr>
              <w:lastRenderedPageBreak/>
              <w:t>Description of the training content &amp; material</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56B98EF3" w14:textId="77777777" w:rsidR="00EB4E30" w:rsidRDefault="00EB4E30" w:rsidP="00C51021">
            <w:pPr>
              <w:spacing w:line="360" w:lineRule="auto"/>
              <w:jc w:val="both"/>
              <w:rPr>
                <w:color w:val="000000"/>
              </w:rPr>
            </w:pPr>
            <w:proofErr w:type="gramStart"/>
            <w:r>
              <w:rPr>
                <w:color w:val="000000"/>
              </w:rPr>
              <w:t>First of all</w:t>
            </w:r>
            <w:proofErr w:type="gramEnd"/>
            <w:r>
              <w:rPr>
                <w:color w:val="000000"/>
              </w:rPr>
              <w:t>, you should read you grammar book or online materials and understand the theoretical part (search and put here the source).</w:t>
            </w:r>
          </w:p>
          <w:p w14:paraId="27ADE522" w14:textId="77777777" w:rsidR="00EB4E30" w:rsidRDefault="00EB4E30" w:rsidP="00C51021">
            <w:pPr>
              <w:spacing w:line="360" w:lineRule="auto"/>
              <w:jc w:val="both"/>
              <w:rPr>
                <w:color w:val="000000"/>
              </w:rPr>
            </w:pPr>
            <w:r>
              <w:rPr>
                <w:color w:val="000000"/>
              </w:rPr>
              <w:t xml:space="preserve">Then, try to memorize verbs and phrases and which of them should be followed by gerund and which by infinitive. </w:t>
            </w:r>
          </w:p>
          <w:p w14:paraId="553C0F8F" w14:textId="77777777" w:rsidR="00EB4E30" w:rsidRDefault="00EB4E30" w:rsidP="00C51021">
            <w:pPr>
              <w:spacing w:line="360" w:lineRule="auto"/>
              <w:jc w:val="both"/>
              <w:rPr>
                <w:color w:val="000000"/>
              </w:rPr>
            </w:pPr>
            <w:r>
              <w:rPr>
                <w:color w:val="000000"/>
              </w:rPr>
              <w:t>It is time to start practicing.</w:t>
            </w:r>
          </w:p>
          <w:p w14:paraId="7C2DC25A" w14:textId="77777777" w:rsidR="00EB4E30" w:rsidRDefault="00EB4E30" w:rsidP="00C51021">
            <w:pPr>
              <w:spacing w:line="360" w:lineRule="auto"/>
              <w:jc w:val="both"/>
              <w:rPr>
                <w:color w:val="000000"/>
              </w:rPr>
            </w:pPr>
            <w:r>
              <w:rPr>
                <w:color w:val="000000"/>
              </w:rPr>
              <w:t xml:space="preserve">You can find exercises either in books or online </w:t>
            </w:r>
            <w:proofErr w:type="gramStart"/>
            <w:r>
              <w:rPr>
                <w:color w:val="000000"/>
              </w:rPr>
              <w:t>in order to</w:t>
            </w:r>
            <w:proofErr w:type="gramEnd"/>
            <w:r>
              <w:rPr>
                <w:color w:val="000000"/>
              </w:rPr>
              <w:t xml:space="preserve"> apply the theory (search and put here the source).</w:t>
            </w:r>
          </w:p>
          <w:p w14:paraId="0285FBFF" w14:textId="77777777" w:rsidR="00EB4E30" w:rsidRDefault="00EB4E30" w:rsidP="00C51021">
            <w:pPr>
              <w:spacing w:line="360" w:lineRule="auto"/>
              <w:jc w:val="both"/>
              <w:rPr>
                <w:color w:val="000000"/>
              </w:rPr>
            </w:pPr>
            <w:r>
              <w:rPr>
                <w:color w:val="000000"/>
              </w:rPr>
              <w:t>After the practicing you should test yourself (search and find tests, put here the sources)</w:t>
            </w:r>
          </w:p>
          <w:p w14:paraId="69211E81" w14:textId="77777777" w:rsidR="00EB4E30" w:rsidRDefault="00EB4E30" w:rsidP="00C51021">
            <w:pPr>
              <w:spacing w:line="360" w:lineRule="auto"/>
              <w:jc w:val="both"/>
              <w:rPr>
                <w:color w:val="000000"/>
              </w:rPr>
            </w:pPr>
            <w:r>
              <w:rPr>
                <w:color w:val="000000"/>
              </w:rPr>
              <w:t xml:space="preserve">At the end of the Unit evaluate yourself. This process will help you to repeat the lesson if it necessary or move on to the next Unit (find the test’s solution, correct your </w:t>
            </w:r>
            <w:proofErr w:type="gramStart"/>
            <w:r>
              <w:rPr>
                <w:color w:val="000000"/>
              </w:rPr>
              <w:t>mistakes</w:t>
            </w:r>
            <w:proofErr w:type="gramEnd"/>
            <w:r>
              <w:rPr>
                <w:color w:val="000000"/>
              </w:rPr>
              <w:t xml:space="preserve"> and mention the next Unit).</w:t>
            </w:r>
          </w:p>
          <w:p w14:paraId="369C35E6" w14:textId="77777777" w:rsidR="00EB4E30" w:rsidRDefault="00EB4E30" w:rsidP="00C51021">
            <w:pPr>
              <w:spacing w:line="360" w:lineRule="auto"/>
              <w:jc w:val="both"/>
              <w:rPr>
                <w:color w:val="000000"/>
              </w:rPr>
            </w:pPr>
          </w:p>
        </w:tc>
      </w:tr>
      <w:tr w:rsidR="00EB4E30" w14:paraId="3F6E805E"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F416810" w14:textId="77777777" w:rsidR="00EB4E30" w:rsidRDefault="00EB4E30" w:rsidP="00C51021">
            <w:pPr>
              <w:spacing w:line="360" w:lineRule="auto"/>
              <w:jc w:val="both"/>
              <w:rPr>
                <w:b/>
                <w:color w:val="000000"/>
              </w:rPr>
            </w:pPr>
            <w:r>
              <w:rPr>
                <w:b/>
                <w:color w:val="000000"/>
              </w:rPr>
              <w:t>Duration</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B420960" w14:textId="77777777" w:rsidR="00EB4E30" w:rsidRDefault="00EB4E30" w:rsidP="00C51021">
            <w:pPr>
              <w:spacing w:line="360" w:lineRule="auto"/>
              <w:jc w:val="both"/>
              <w:rPr>
                <w:color w:val="000000"/>
              </w:rPr>
            </w:pPr>
            <w:r>
              <w:rPr>
                <w:color w:val="000000"/>
              </w:rPr>
              <w:t>1,5h</w:t>
            </w:r>
          </w:p>
        </w:tc>
      </w:tr>
      <w:tr w:rsidR="00EB4E30" w14:paraId="0B6E21CE"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0D3F5D7C" w14:textId="77777777" w:rsidR="00EB4E30" w:rsidRDefault="00EB4E30" w:rsidP="00C51021">
            <w:pPr>
              <w:spacing w:line="360" w:lineRule="auto"/>
              <w:jc w:val="both"/>
              <w:rPr>
                <w:b/>
                <w:color w:val="000000"/>
              </w:rPr>
            </w:pPr>
            <w:r>
              <w:rPr>
                <w:b/>
                <w:color w:val="000000"/>
              </w:rPr>
              <w:t>Methodology – activities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tcPr>
          <w:p w14:paraId="52F20E86" w14:textId="77777777" w:rsidR="00EB4E30" w:rsidRDefault="00EB4E30" w:rsidP="00EB4E30">
            <w:pPr>
              <w:numPr>
                <w:ilvl w:val="0"/>
                <w:numId w:val="3"/>
              </w:numPr>
              <w:pBdr>
                <w:top w:val="nil"/>
                <w:left w:val="nil"/>
                <w:bottom w:val="nil"/>
                <w:right w:val="nil"/>
                <w:between w:val="nil"/>
              </w:pBdr>
              <w:spacing w:line="360" w:lineRule="auto"/>
              <w:jc w:val="both"/>
              <w:rPr>
                <w:color w:val="000000"/>
              </w:rPr>
            </w:pPr>
            <w:r>
              <w:rPr>
                <w:color w:val="000000"/>
              </w:rPr>
              <w:t>Theory: Read the grammar rule</w:t>
            </w:r>
          </w:p>
          <w:p w14:paraId="2B241887" w14:textId="77777777" w:rsidR="00EB4E30" w:rsidRDefault="00EB4E30" w:rsidP="00EB4E30">
            <w:pPr>
              <w:numPr>
                <w:ilvl w:val="0"/>
                <w:numId w:val="3"/>
              </w:numPr>
              <w:pBdr>
                <w:top w:val="nil"/>
                <w:left w:val="nil"/>
                <w:bottom w:val="nil"/>
                <w:right w:val="nil"/>
                <w:between w:val="nil"/>
              </w:pBdr>
              <w:spacing w:line="360" w:lineRule="auto"/>
              <w:jc w:val="both"/>
              <w:rPr>
                <w:color w:val="000000"/>
              </w:rPr>
            </w:pPr>
            <w:r>
              <w:rPr>
                <w:color w:val="000000"/>
              </w:rPr>
              <w:t>Practice: Apply the theory in exercises</w:t>
            </w:r>
          </w:p>
          <w:p w14:paraId="22CDB176" w14:textId="77777777" w:rsidR="00EB4E30" w:rsidRDefault="00EB4E30" w:rsidP="00EB4E30">
            <w:pPr>
              <w:numPr>
                <w:ilvl w:val="0"/>
                <w:numId w:val="3"/>
              </w:numPr>
              <w:pBdr>
                <w:top w:val="nil"/>
                <w:left w:val="nil"/>
                <w:bottom w:val="nil"/>
                <w:right w:val="nil"/>
                <w:between w:val="nil"/>
              </w:pBdr>
              <w:spacing w:line="360" w:lineRule="auto"/>
              <w:jc w:val="both"/>
              <w:rPr>
                <w:color w:val="000000"/>
              </w:rPr>
            </w:pPr>
            <w:r>
              <w:rPr>
                <w:color w:val="000000"/>
              </w:rPr>
              <w:t>Test: Complete exercise by your own, find the solutions and correct your mistakes</w:t>
            </w:r>
          </w:p>
          <w:p w14:paraId="481DBB1B" w14:textId="77777777" w:rsidR="00EB4E30" w:rsidRDefault="00EB4E30" w:rsidP="00EB4E30">
            <w:pPr>
              <w:numPr>
                <w:ilvl w:val="0"/>
                <w:numId w:val="3"/>
              </w:numPr>
              <w:pBdr>
                <w:top w:val="nil"/>
                <w:left w:val="nil"/>
                <w:bottom w:val="nil"/>
                <w:right w:val="nil"/>
                <w:between w:val="nil"/>
              </w:pBdr>
              <w:spacing w:line="360" w:lineRule="auto"/>
              <w:jc w:val="both"/>
              <w:rPr>
                <w:color w:val="000000"/>
              </w:rPr>
            </w:pPr>
            <w:r>
              <w:rPr>
                <w:color w:val="000000"/>
              </w:rPr>
              <w:t>Evaluation: Rate yourself according to the test results</w:t>
            </w:r>
          </w:p>
          <w:p w14:paraId="379FE056" w14:textId="77777777" w:rsidR="00EB4E30" w:rsidRDefault="00EB4E30" w:rsidP="00EB4E30">
            <w:pPr>
              <w:numPr>
                <w:ilvl w:val="0"/>
                <w:numId w:val="3"/>
              </w:numPr>
              <w:pBdr>
                <w:top w:val="nil"/>
                <w:left w:val="nil"/>
                <w:bottom w:val="nil"/>
                <w:right w:val="nil"/>
                <w:between w:val="nil"/>
              </w:pBdr>
              <w:spacing w:line="360" w:lineRule="auto"/>
              <w:jc w:val="both"/>
              <w:rPr>
                <w:color w:val="000000"/>
              </w:rPr>
            </w:pPr>
            <w:r>
              <w:rPr>
                <w:color w:val="000000"/>
              </w:rPr>
              <w:lastRenderedPageBreak/>
              <w:t>Repeat the steps or move to the next Unit.</w:t>
            </w:r>
          </w:p>
        </w:tc>
      </w:tr>
      <w:tr w:rsidR="00EB4E30" w14:paraId="5A22F1C9" w14:textId="77777777" w:rsidTr="00EB4E30">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B139828" w14:textId="77777777" w:rsidR="00EB4E30" w:rsidRDefault="00EB4E30" w:rsidP="00C51021">
            <w:pPr>
              <w:spacing w:line="360" w:lineRule="auto"/>
              <w:jc w:val="both"/>
              <w:rPr>
                <w:b/>
                <w:color w:val="000000"/>
              </w:rPr>
            </w:pPr>
            <w:r>
              <w:rPr>
                <w:b/>
                <w:color w:val="000000"/>
              </w:rPr>
              <w:lastRenderedPageBreak/>
              <w:t>Test criteria, assessment and self-assessment tools for pre-tests and post-tests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9C0F279" w14:textId="77777777" w:rsidR="00EB4E30" w:rsidRDefault="00EB4E30" w:rsidP="00C51021">
            <w:pPr>
              <w:spacing w:line="360" w:lineRule="auto"/>
              <w:jc w:val="both"/>
              <w:rPr>
                <w:color w:val="000000"/>
              </w:rPr>
            </w:pPr>
            <w:r>
              <w:rPr>
                <w:color w:val="000000"/>
              </w:rPr>
              <w:t xml:space="preserve">You can complete a test before the Unit and one after its completion </w:t>
            </w:r>
            <w:proofErr w:type="gramStart"/>
            <w:r>
              <w:rPr>
                <w:color w:val="000000"/>
              </w:rPr>
              <w:t>in order to</w:t>
            </w:r>
            <w:proofErr w:type="gramEnd"/>
            <w:r>
              <w:rPr>
                <w:color w:val="000000"/>
              </w:rPr>
              <w:t xml:space="preserve"> rate yourself. This test will work as self-assessment tool.</w:t>
            </w:r>
          </w:p>
        </w:tc>
      </w:tr>
    </w:tbl>
    <w:p w14:paraId="753082E6" w14:textId="77777777" w:rsidR="00EB4E30" w:rsidRDefault="00EB4E30"/>
    <w:sectPr w:rsidR="00EB4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C12"/>
    <w:multiLevelType w:val="multilevel"/>
    <w:tmpl w:val="2C202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BB2E38"/>
    <w:multiLevelType w:val="multilevel"/>
    <w:tmpl w:val="CC3A5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493248"/>
    <w:multiLevelType w:val="multilevel"/>
    <w:tmpl w:val="6B8E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45442B"/>
    <w:multiLevelType w:val="multilevel"/>
    <w:tmpl w:val="AA88C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626648">
    <w:abstractNumId w:val="3"/>
  </w:num>
  <w:num w:numId="2" w16cid:durableId="1664623949">
    <w:abstractNumId w:val="1"/>
  </w:num>
  <w:num w:numId="3" w16cid:durableId="754791396">
    <w:abstractNumId w:val="2"/>
  </w:num>
  <w:num w:numId="4" w16cid:durableId="213925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0"/>
    <w:rsid w:val="00EB4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06A4398"/>
  <w15:chartTrackingRefBased/>
  <w15:docId w15:val="{63D9B19A-92D9-D441-BC10-77777232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E30"/>
    <w:rPr>
      <w:rFonts w:ascii="Calibri" w:eastAsia="Calibri" w:hAnsi="Calibri" w:cs="Calibri"/>
      <w:lang w:val="en-GB"/>
    </w:rPr>
  </w:style>
  <w:style w:type="paragraph" w:styleId="Nagwek1">
    <w:name w:val="heading 1"/>
    <w:basedOn w:val="Normalny"/>
    <w:next w:val="Normalny"/>
    <w:link w:val="Nagwek1Znak"/>
    <w:uiPriority w:val="9"/>
    <w:qFormat/>
    <w:rsid w:val="00EB4E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E30"/>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1890</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Stawiński</dc:creator>
  <cp:keywords/>
  <dc:description/>
  <cp:lastModifiedBy>Kacper Stawiński</cp:lastModifiedBy>
  <cp:revision>1</cp:revision>
  <dcterms:created xsi:type="dcterms:W3CDTF">2022-12-02T11:31:00Z</dcterms:created>
  <dcterms:modified xsi:type="dcterms:W3CDTF">2022-12-02T11:32:00Z</dcterms:modified>
</cp:coreProperties>
</file>